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CB1" w:rsidRDefault="00D73CB1" w:rsidP="00D73CB1">
      <w:pPr>
        <w:widowControl/>
        <w:spacing w:line="480" w:lineRule="auto"/>
        <w:jc w:val="left"/>
        <w:rPr>
          <w:rStyle w:val="a5"/>
          <w:rFonts w:ascii="华文仿宋" w:eastAsia="华文仿宋" w:hAnsi="华文仿宋"/>
          <w:sz w:val="28"/>
          <w:szCs w:val="28"/>
          <w:shd w:val="clear" w:color="auto" w:fill="FFFFFF"/>
        </w:rPr>
      </w:pPr>
      <w:r w:rsidRPr="00981427">
        <w:rPr>
          <w:rStyle w:val="a5"/>
          <w:rFonts w:ascii="华文仿宋" w:eastAsia="华文仿宋" w:hAnsi="华文仿宋" w:hint="eastAsia"/>
          <w:sz w:val="28"/>
          <w:szCs w:val="28"/>
          <w:shd w:val="clear" w:color="auto" w:fill="FFFFFF"/>
        </w:rPr>
        <w:t>附件2</w:t>
      </w:r>
      <w:r>
        <w:rPr>
          <w:rStyle w:val="a5"/>
          <w:rFonts w:ascii="华文仿宋" w:eastAsia="华文仿宋" w:hAnsi="华文仿宋" w:hint="eastAsia"/>
          <w:sz w:val="28"/>
          <w:szCs w:val="28"/>
          <w:shd w:val="clear" w:color="auto" w:fill="FFFFFF"/>
        </w:rPr>
        <w:t>：</w:t>
      </w:r>
    </w:p>
    <w:p w:rsidR="00D73CB1" w:rsidRPr="00981427" w:rsidRDefault="00D73CB1" w:rsidP="00D73CB1">
      <w:pPr>
        <w:widowControl/>
        <w:spacing w:line="480" w:lineRule="auto"/>
        <w:jc w:val="center"/>
        <w:rPr>
          <w:rStyle w:val="a5"/>
          <w:rFonts w:ascii="华文仿宋" w:eastAsia="华文仿宋" w:hAnsi="华文仿宋"/>
          <w:sz w:val="28"/>
          <w:szCs w:val="28"/>
          <w:shd w:val="clear" w:color="auto" w:fill="FFFFFF"/>
        </w:rPr>
      </w:pPr>
      <w:r>
        <w:rPr>
          <w:rStyle w:val="a5"/>
          <w:rFonts w:ascii="华文仿宋" w:eastAsia="华文仿宋" w:hAnsi="华文仿宋" w:hint="eastAsia"/>
          <w:sz w:val="28"/>
          <w:szCs w:val="28"/>
          <w:shd w:val="clear" w:color="auto" w:fill="FFFFFF"/>
        </w:rPr>
        <w:t>西南交通大学2</w:t>
      </w:r>
      <w:r>
        <w:rPr>
          <w:rStyle w:val="a5"/>
          <w:rFonts w:ascii="华文仿宋" w:eastAsia="华文仿宋" w:hAnsi="华文仿宋"/>
          <w:sz w:val="28"/>
          <w:szCs w:val="28"/>
          <w:shd w:val="clear" w:color="auto" w:fill="FFFFFF"/>
        </w:rPr>
        <w:t>022年高水平运动队招生专业及专业选择范围</w:t>
      </w:r>
    </w:p>
    <w:tbl>
      <w:tblPr>
        <w:tblW w:w="5000" w:type="pct"/>
        <w:tblLook w:val="04A0" w:firstRow="1" w:lastRow="0" w:firstColumn="1" w:lastColumn="0" w:noHBand="0" w:noVBand="1"/>
      </w:tblPr>
      <w:tblGrid>
        <w:gridCol w:w="697"/>
        <w:gridCol w:w="2959"/>
        <w:gridCol w:w="2136"/>
        <w:gridCol w:w="2504"/>
      </w:tblGrid>
      <w:tr w:rsidR="00D73CB1" w:rsidRPr="00981427" w:rsidTr="008D5A2E">
        <w:trPr>
          <w:trHeight w:val="285"/>
        </w:trPr>
        <w:tc>
          <w:tcPr>
            <w:tcW w:w="42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b/>
                <w:bCs/>
                <w:kern w:val="0"/>
                <w:sz w:val="24"/>
                <w:szCs w:val="24"/>
              </w:rPr>
            </w:pPr>
            <w:r w:rsidRPr="00981427">
              <w:rPr>
                <w:rFonts w:ascii="华文仿宋" w:eastAsia="华文仿宋" w:hAnsi="华文仿宋" w:cs="宋体" w:hint="eastAsia"/>
                <w:b/>
                <w:bCs/>
                <w:kern w:val="0"/>
                <w:sz w:val="24"/>
                <w:szCs w:val="24"/>
              </w:rPr>
              <w:t>序号</w:t>
            </w:r>
          </w:p>
        </w:tc>
        <w:tc>
          <w:tcPr>
            <w:tcW w:w="1784" w:type="pct"/>
            <w:tcBorders>
              <w:top w:val="single" w:sz="4" w:space="0" w:color="auto"/>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b/>
                <w:bCs/>
                <w:kern w:val="0"/>
                <w:sz w:val="24"/>
                <w:szCs w:val="24"/>
              </w:rPr>
            </w:pPr>
            <w:r w:rsidRPr="00981427">
              <w:rPr>
                <w:rFonts w:ascii="华文仿宋" w:eastAsia="华文仿宋" w:hAnsi="华文仿宋" w:cs="宋体" w:hint="eastAsia"/>
                <w:b/>
                <w:bCs/>
                <w:kern w:val="0"/>
                <w:sz w:val="24"/>
                <w:szCs w:val="24"/>
              </w:rPr>
              <w:t>学院名称</w:t>
            </w:r>
          </w:p>
        </w:tc>
        <w:tc>
          <w:tcPr>
            <w:tcW w:w="1287" w:type="pct"/>
            <w:tcBorders>
              <w:top w:val="single" w:sz="4" w:space="0" w:color="auto"/>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b/>
                <w:bCs/>
                <w:kern w:val="0"/>
                <w:sz w:val="24"/>
                <w:szCs w:val="24"/>
              </w:rPr>
            </w:pPr>
            <w:r w:rsidRPr="00981427">
              <w:rPr>
                <w:rFonts w:ascii="华文仿宋" w:eastAsia="华文仿宋" w:hAnsi="华文仿宋" w:cs="宋体" w:hint="eastAsia"/>
                <w:b/>
                <w:bCs/>
                <w:kern w:val="0"/>
                <w:sz w:val="24"/>
                <w:szCs w:val="24"/>
              </w:rPr>
              <w:t>科类</w:t>
            </w:r>
          </w:p>
        </w:tc>
        <w:tc>
          <w:tcPr>
            <w:tcW w:w="1509" w:type="pct"/>
            <w:tcBorders>
              <w:top w:val="single" w:sz="4" w:space="0" w:color="auto"/>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b/>
                <w:bCs/>
                <w:kern w:val="0"/>
                <w:sz w:val="24"/>
                <w:szCs w:val="24"/>
              </w:rPr>
            </w:pPr>
            <w:r w:rsidRPr="00981427">
              <w:rPr>
                <w:rFonts w:ascii="华文仿宋" w:eastAsia="华文仿宋" w:hAnsi="华文仿宋" w:cs="宋体" w:hint="eastAsia"/>
                <w:b/>
                <w:bCs/>
                <w:kern w:val="0"/>
                <w:sz w:val="24"/>
                <w:szCs w:val="24"/>
              </w:rPr>
              <w:t>专业名称</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土木工程学院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土木工程</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2</w:t>
            </w:r>
          </w:p>
        </w:tc>
        <w:tc>
          <w:tcPr>
            <w:tcW w:w="1784"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机械工程</w:t>
            </w:r>
            <w:r w:rsidRPr="00981427">
              <w:rPr>
                <w:rFonts w:ascii="华文仿宋" w:eastAsia="华文仿宋" w:hAnsi="华文仿宋" w:cs="宋体"/>
                <w:kern w:val="0"/>
                <w:sz w:val="24"/>
                <w:szCs w:val="24"/>
              </w:rPr>
              <w:t>学院</w:t>
            </w:r>
          </w:p>
        </w:tc>
        <w:tc>
          <w:tcPr>
            <w:tcW w:w="1287"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车辆</w:t>
            </w:r>
            <w:r w:rsidRPr="00981427">
              <w:rPr>
                <w:rFonts w:ascii="华文仿宋" w:eastAsia="华文仿宋" w:hAnsi="华文仿宋" w:cs="宋体"/>
                <w:kern w:val="0"/>
                <w:sz w:val="24"/>
                <w:szCs w:val="24"/>
              </w:rPr>
              <w:t>工程</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3</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电气工程学院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电气工程及其自动化</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4</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Pr>
                <w:rFonts w:ascii="华文仿宋" w:eastAsia="华文仿宋" w:hAnsi="华文仿宋" w:cs="宋体" w:hint="eastAsia"/>
                <w:kern w:val="0"/>
                <w:sz w:val="24"/>
                <w:szCs w:val="24"/>
              </w:rPr>
              <w:t>计算机与人工智能学院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计算机类</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5</w:t>
            </w:r>
          </w:p>
        </w:tc>
        <w:tc>
          <w:tcPr>
            <w:tcW w:w="1784"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交通运输</w:t>
            </w:r>
            <w:r w:rsidRPr="00981427">
              <w:rPr>
                <w:rFonts w:ascii="华文仿宋" w:eastAsia="华文仿宋" w:hAnsi="华文仿宋" w:cs="宋体"/>
                <w:kern w:val="0"/>
                <w:sz w:val="24"/>
                <w:szCs w:val="24"/>
              </w:rPr>
              <w:t>与物流学院</w:t>
            </w:r>
          </w:p>
        </w:tc>
        <w:tc>
          <w:tcPr>
            <w:tcW w:w="1287"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物流管理与工程类</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6</w:t>
            </w:r>
          </w:p>
        </w:tc>
        <w:tc>
          <w:tcPr>
            <w:tcW w:w="1784"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材料科学</w:t>
            </w:r>
            <w:r w:rsidRPr="00981427">
              <w:rPr>
                <w:rFonts w:ascii="华文仿宋" w:eastAsia="华文仿宋" w:hAnsi="华文仿宋" w:cs="宋体"/>
                <w:kern w:val="0"/>
                <w:sz w:val="24"/>
                <w:szCs w:val="24"/>
              </w:rPr>
              <w:t>与工程学院</w:t>
            </w:r>
          </w:p>
        </w:tc>
        <w:tc>
          <w:tcPr>
            <w:tcW w:w="1287"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生物医学</w:t>
            </w:r>
            <w:r w:rsidRPr="00981427">
              <w:rPr>
                <w:rFonts w:ascii="华文仿宋" w:eastAsia="华文仿宋" w:hAnsi="华文仿宋" w:cs="宋体"/>
                <w:kern w:val="0"/>
                <w:sz w:val="24"/>
                <w:szCs w:val="24"/>
              </w:rPr>
              <w:t>工程</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7</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地球科学与环境工程学院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环境科学与工程类</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8</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生命科学与工程学院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生物工程</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9</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经济管理学院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理科、</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工商管理类</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10</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公共管理学院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公共事业管理</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11</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公共管理学院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政治学与行政学</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12</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公共管理学院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法学</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13</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心理研究与咨询中心</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应用心理学</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14</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马克思主义学院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思想政治教育</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15</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人文学院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新闻传播学类</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16</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人文学院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汉语言文学</w:t>
            </w:r>
          </w:p>
        </w:tc>
      </w:tr>
      <w:tr w:rsidR="00D73CB1" w:rsidRPr="00981427" w:rsidTr="008D5A2E">
        <w:trPr>
          <w:trHeight w:val="285"/>
        </w:trPr>
        <w:tc>
          <w:tcPr>
            <w:tcW w:w="420" w:type="pct"/>
            <w:tcBorders>
              <w:top w:val="nil"/>
              <w:left w:val="single" w:sz="4" w:space="0" w:color="auto"/>
              <w:bottom w:val="single" w:sz="4" w:space="0" w:color="auto"/>
              <w:right w:val="single" w:sz="4" w:space="0" w:color="auto"/>
            </w:tcBorders>
            <w:shd w:val="clear" w:color="000000" w:fill="FFFFFF"/>
            <w:noWrap/>
            <w:vAlign w:val="center"/>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17</w:t>
            </w:r>
          </w:p>
        </w:tc>
        <w:tc>
          <w:tcPr>
            <w:tcW w:w="1784"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外国语学院</w:t>
            </w:r>
          </w:p>
        </w:tc>
        <w:tc>
          <w:tcPr>
            <w:tcW w:w="1287"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center"/>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文、理、</w:t>
            </w:r>
            <w:r w:rsidRPr="00981427">
              <w:rPr>
                <w:rFonts w:ascii="华文仿宋" w:eastAsia="华文仿宋" w:hAnsi="华文仿宋" w:cs="宋体"/>
                <w:kern w:val="0"/>
                <w:sz w:val="24"/>
                <w:szCs w:val="24"/>
              </w:rPr>
              <w:t>综合改革</w:t>
            </w:r>
          </w:p>
        </w:tc>
        <w:tc>
          <w:tcPr>
            <w:tcW w:w="1509" w:type="pct"/>
            <w:tcBorders>
              <w:top w:val="nil"/>
              <w:left w:val="nil"/>
              <w:bottom w:val="single" w:sz="4" w:space="0" w:color="auto"/>
              <w:right w:val="single" w:sz="4" w:space="0" w:color="auto"/>
            </w:tcBorders>
            <w:shd w:val="clear" w:color="000000" w:fill="FFFFFF"/>
            <w:noWrap/>
            <w:vAlign w:val="center"/>
            <w:hideMark/>
          </w:tcPr>
          <w:p w:rsidR="00D73CB1" w:rsidRPr="00981427" w:rsidRDefault="00D73CB1" w:rsidP="008D5A2E">
            <w:pPr>
              <w:widowControl/>
              <w:spacing w:line="360" w:lineRule="auto"/>
              <w:jc w:val="left"/>
              <w:rPr>
                <w:rFonts w:ascii="华文仿宋" w:eastAsia="华文仿宋" w:hAnsi="华文仿宋" w:cs="宋体"/>
                <w:kern w:val="0"/>
                <w:sz w:val="24"/>
                <w:szCs w:val="24"/>
              </w:rPr>
            </w:pPr>
            <w:r w:rsidRPr="00981427">
              <w:rPr>
                <w:rFonts w:ascii="华文仿宋" w:eastAsia="华文仿宋" w:hAnsi="华文仿宋" w:cs="宋体" w:hint="eastAsia"/>
                <w:kern w:val="0"/>
                <w:sz w:val="24"/>
                <w:szCs w:val="24"/>
              </w:rPr>
              <w:t>汉语</w:t>
            </w:r>
            <w:r w:rsidRPr="00981427">
              <w:rPr>
                <w:rFonts w:ascii="华文仿宋" w:eastAsia="华文仿宋" w:hAnsi="华文仿宋" w:cs="宋体"/>
                <w:kern w:val="0"/>
                <w:sz w:val="24"/>
                <w:szCs w:val="24"/>
              </w:rPr>
              <w:t>国际教育</w:t>
            </w:r>
          </w:p>
        </w:tc>
      </w:tr>
    </w:tbl>
    <w:p w:rsidR="00D73CB1" w:rsidRPr="007F5A2A" w:rsidRDefault="00D73CB1" w:rsidP="00D73CB1">
      <w:pPr>
        <w:widowControl/>
        <w:shd w:val="clear" w:color="auto" w:fill="FFFFFF"/>
        <w:spacing w:line="440" w:lineRule="exact"/>
        <w:ind w:firstLineChars="200" w:firstLine="560"/>
        <w:jc w:val="left"/>
        <w:rPr>
          <w:rFonts w:ascii="华文仿宋" w:eastAsia="华文仿宋" w:hAnsi="华文仿宋" w:cs="宋体"/>
          <w:kern w:val="0"/>
          <w:sz w:val="28"/>
          <w:szCs w:val="28"/>
        </w:rPr>
      </w:pPr>
      <w:r w:rsidRPr="007F5A2A">
        <w:rPr>
          <w:rFonts w:ascii="华文仿宋" w:eastAsia="华文仿宋" w:hAnsi="华文仿宋" w:cs="宋体" w:hint="eastAsia"/>
          <w:bCs/>
          <w:kern w:val="0"/>
          <w:sz w:val="28"/>
          <w:szCs w:val="28"/>
        </w:rPr>
        <w:t>专业选择范围：</w:t>
      </w:r>
    </w:p>
    <w:p w:rsidR="00D73CB1" w:rsidRPr="007F5A2A" w:rsidRDefault="00D73CB1" w:rsidP="00D73CB1">
      <w:pPr>
        <w:widowControl/>
        <w:shd w:val="clear" w:color="auto" w:fill="FFFFFF"/>
        <w:spacing w:line="440" w:lineRule="exact"/>
        <w:ind w:firstLineChars="200" w:firstLine="560"/>
        <w:jc w:val="left"/>
        <w:rPr>
          <w:rFonts w:ascii="华文仿宋" w:eastAsia="华文仿宋" w:hAnsi="华文仿宋" w:cs="宋体"/>
          <w:kern w:val="0"/>
          <w:sz w:val="28"/>
          <w:szCs w:val="28"/>
        </w:rPr>
      </w:pPr>
      <w:r w:rsidRPr="007F5A2A">
        <w:rPr>
          <w:rFonts w:ascii="华文仿宋" w:eastAsia="华文仿宋" w:hAnsi="华文仿宋" w:cs="Times New Roman"/>
          <w:bCs/>
          <w:kern w:val="0"/>
          <w:sz w:val="28"/>
          <w:szCs w:val="28"/>
        </w:rPr>
        <w:lastRenderedPageBreak/>
        <w:t>1</w:t>
      </w:r>
      <w:r w:rsidRPr="007F5A2A">
        <w:rPr>
          <w:rFonts w:ascii="华文仿宋" w:eastAsia="华文仿宋" w:hAnsi="华文仿宋" w:cs="宋体" w:hint="eastAsia"/>
          <w:bCs/>
          <w:kern w:val="0"/>
          <w:sz w:val="28"/>
          <w:szCs w:val="28"/>
        </w:rPr>
        <w:t>、投档成绩达到所在省份理科第二批次本科控制线及以上的理科（或</w:t>
      </w:r>
      <w:r w:rsidRPr="007F5A2A">
        <w:rPr>
          <w:rFonts w:ascii="华文仿宋" w:eastAsia="华文仿宋" w:hAnsi="华文仿宋" w:cs="宋体"/>
          <w:bCs/>
          <w:kern w:val="0"/>
          <w:sz w:val="28"/>
          <w:szCs w:val="28"/>
        </w:rPr>
        <w:t>综合改革</w:t>
      </w:r>
      <w:r w:rsidRPr="007F5A2A">
        <w:rPr>
          <w:rFonts w:ascii="华文仿宋" w:eastAsia="华文仿宋" w:hAnsi="华文仿宋" w:cs="宋体" w:hint="eastAsia"/>
          <w:bCs/>
          <w:kern w:val="0"/>
          <w:sz w:val="28"/>
          <w:szCs w:val="28"/>
        </w:rPr>
        <w:t>）考生可以在1-17号专业内选择专业；投档成绩达到本省文科第二批次本科控制线及以上的文科考生可以在10-17号专业内选择专业。</w:t>
      </w:r>
      <w:r w:rsidRPr="007F5A2A">
        <w:rPr>
          <w:rFonts w:ascii="华文仿宋" w:eastAsia="华文仿宋" w:hAnsi="华文仿宋" w:cs="宋体" w:hint="eastAsia"/>
          <w:kern w:val="0"/>
          <w:sz w:val="28"/>
          <w:szCs w:val="28"/>
        </w:rPr>
        <w:t> </w:t>
      </w:r>
    </w:p>
    <w:p w:rsidR="00D73CB1" w:rsidRPr="007F5A2A" w:rsidRDefault="00D73CB1" w:rsidP="00D73CB1">
      <w:pPr>
        <w:widowControl/>
        <w:shd w:val="clear" w:color="auto" w:fill="FFFFFF"/>
        <w:spacing w:line="440" w:lineRule="exact"/>
        <w:ind w:firstLineChars="200" w:firstLine="560"/>
        <w:jc w:val="left"/>
        <w:rPr>
          <w:rFonts w:ascii="华文仿宋" w:eastAsia="华文仿宋" w:hAnsi="华文仿宋" w:cs="宋体"/>
          <w:kern w:val="0"/>
          <w:sz w:val="28"/>
          <w:szCs w:val="28"/>
        </w:rPr>
      </w:pPr>
      <w:r w:rsidRPr="007F5A2A">
        <w:rPr>
          <w:rFonts w:ascii="华文仿宋" w:eastAsia="华文仿宋" w:hAnsi="华文仿宋" w:cs="宋体" w:hint="eastAsia"/>
          <w:bCs/>
          <w:kern w:val="0"/>
          <w:sz w:val="28"/>
          <w:szCs w:val="28"/>
        </w:rPr>
        <w:t>2、A类考生只能在</w:t>
      </w:r>
      <w:r w:rsidRPr="007F5A2A">
        <w:rPr>
          <w:rFonts w:ascii="华文仿宋" w:eastAsia="华文仿宋" w:hAnsi="华文仿宋" w:cs="Times New Roman" w:hint="eastAsia"/>
          <w:bCs/>
          <w:kern w:val="0"/>
          <w:sz w:val="28"/>
          <w:szCs w:val="28"/>
        </w:rPr>
        <w:t>10</w:t>
      </w:r>
      <w:r w:rsidRPr="007F5A2A">
        <w:rPr>
          <w:rFonts w:ascii="华文仿宋" w:eastAsia="华文仿宋" w:hAnsi="华文仿宋" w:cs="宋体" w:hint="eastAsia"/>
          <w:bCs/>
          <w:kern w:val="0"/>
          <w:sz w:val="28"/>
          <w:szCs w:val="28"/>
        </w:rPr>
        <w:t>-</w:t>
      </w:r>
      <w:r w:rsidRPr="007F5A2A">
        <w:rPr>
          <w:rFonts w:ascii="华文仿宋" w:eastAsia="华文仿宋" w:hAnsi="华文仿宋" w:cs="Times New Roman" w:hint="eastAsia"/>
          <w:bCs/>
          <w:kern w:val="0"/>
          <w:sz w:val="28"/>
          <w:szCs w:val="28"/>
        </w:rPr>
        <w:t>17</w:t>
      </w:r>
      <w:r w:rsidRPr="007F5A2A">
        <w:rPr>
          <w:rFonts w:ascii="华文仿宋" w:eastAsia="华文仿宋" w:hAnsi="华文仿宋" w:cs="宋体" w:hint="eastAsia"/>
          <w:bCs/>
          <w:kern w:val="0"/>
          <w:sz w:val="28"/>
          <w:szCs w:val="28"/>
        </w:rPr>
        <w:t>号专业内选择专业。</w:t>
      </w:r>
    </w:p>
    <w:p w:rsidR="00D73CB1" w:rsidRPr="007F5A2A" w:rsidRDefault="00D73CB1" w:rsidP="00D73CB1">
      <w:pPr>
        <w:widowControl/>
        <w:shd w:val="clear" w:color="auto" w:fill="FFFFFF"/>
        <w:spacing w:line="440" w:lineRule="exact"/>
        <w:ind w:firstLineChars="200" w:firstLine="560"/>
        <w:jc w:val="left"/>
        <w:rPr>
          <w:rFonts w:ascii="华文仿宋" w:eastAsia="华文仿宋" w:hAnsi="华文仿宋" w:cs="宋体"/>
          <w:bCs/>
          <w:kern w:val="0"/>
          <w:sz w:val="28"/>
          <w:szCs w:val="28"/>
        </w:rPr>
      </w:pPr>
      <w:r w:rsidRPr="007F5A2A">
        <w:rPr>
          <w:rFonts w:ascii="华文仿宋" w:eastAsia="华文仿宋" w:hAnsi="华文仿宋" w:cs="宋体" w:hint="eastAsia"/>
          <w:bCs/>
          <w:kern w:val="0"/>
          <w:sz w:val="28"/>
          <w:szCs w:val="28"/>
        </w:rPr>
        <w:t>3、投档成绩未达到所在省份相应科类第二批次本科控制线的B类考生，只能选择</w:t>
      </w:r>
      <w:r w:rsidRPr="007F5A2A">
        <w:rPr>
          <w:rFonts w:ascii="华文仿宋" w:eastAsia="华文仿宋" w:hAnsi="华文仿宋" w:cs="Times New Roman" w:hint="eastAsia"/>
          <w:bCs/>
          <w:kern w:val="0"/>
          <w:sz w:val="28"/>
          <w:szCs w:val="28"/>
        </w:rPr>
        <w:t>10</w:t>
      </w:r>
      <w:r w:rsidRPr="007F5A2A">
        <w:rPr>
          <w:rFonts w:ascii="华文仿宋" w:eastAsia="华文仿宋" w:hAnsi="华文仿宋" w:cs="宋体" w:hint="eastAsia"/>
          <w:bCs/>
          <w:kern w:val="0"/>
          <w:sz w:val="28"/>
          <w:szCs w:val="28"/>
        </w:rPr>
        <w:t>-</w:t>
      </w:r>
      <w:r w:rsidRPr="007F5A2A">
        <w:rPr>
          <w:rFonts w:ascii="华文仿宋" w:eastAsia="华文仿宋" w:hAnsi="华文仿宋" w:cs="Times New Roman" w:hint="eastAsia"/>
          <w:bCs/>
          <w:kern w:val="0"/>
          <w:sz w:val="28"/>
          <w:szCs w:val="28"/>
        </w:rPr>
        <w:t>17</w:t>
      </w:r>
      <w:r w:rsidRPr="007F5A2A">
        <w:rPr>
          <w:rFonts w:ascii="华文仿宋" w:eastAsia="华文仿宋" w:hAnsi="华文仿宋" w:cs="宋体" w:hint="eastAsia"/>
          <w:bCs/>
          <w:kern w:val="0"/>
          <w:sz w:val="28"/>
          <w:szCs w:val="28"/>
        </w:rPr>
        <w:t>号专业。</w:t>
      </w:r>
    </w:p>
    <w:p w:rsidR="00D73CB1" w:rsidRDefault="00D73CB1" w:rsidP="00D73CB1">
      <w:pPr>
        <w:widowControl/>
        <w:shd w:val="clear" w:color="auto" w:fill="FFFFFF"/>
        <w:spacing w:line="440" w:lineRule="exact"/>
        <w:ind w:firstLineChars="200" w:firstLine="560"/>
        <w:jc w:val="left"/>
        <w:rPr>
          <w:rFonts w:ascii="华文仿宋" w:eastAsia="华文仿宋" w:hAnsi="华文仿宋" w:cs="宋体"/>
          <w:kern w:val="0"/>
          <w:sz w:val="28"/>
          <w:szCs w:val="28"/>
        </w:rPr>
      </w:pPr>
      <w:r w:rsidRPr="007F5A2A">
        <w:rPr>
          <w:rFonts w:ascii="华文仿宋" w:eastAsia="华文仿宋" w:hAnsi="华文仿宋" w:cs="宋体" w:hint="eastAsia"/>
          <w:bCs/>
          <w:kern w:val="0"/>
          <w:sz w:val="28"/>
          <w:szCs w:val="28"/>
        </w:rPr>
        <w:t>4</w:t>
      </w:r>
      <w:r>
        <w:rPr>
          <w:rFonts w:ascii="华文仿宋" w:eastAsia="华文仿宋" w:hAnsi="华文仿宋" w:cs="宋体" w:hint="eastAsia"/>
          <w:bCs/>
          <w:kern w:val="0"/>
          <w:sz w:val="28"/>
          <w:szCs w:val="28"/>
        </w:rPr>
        <w:t>、单独划定高水平运动队相应类别控制线的省（市、区</w:t>
      </w:r>
      <w:r w:rsidRPr="007F5A2A">
        <w:rPr>
          <w:rFonts w:ascii="华文仿宋" w:eastAsia="华文仿宋" w:hAnsi="华文仿宋" w:cs="宋体" w:hint="eastAsia"/>
          <w:bCs/>
          <w:kern w:val="0"/>
          <w:sz w:val="28"/>
          <w:szCs w:val="28"/>
        </w:rPr>
        <w:t>），执行省级招生考试机构划定的相应控制线。</w:t>
      </w:r>
    </w:p>
    <w:p w:rsidR="00B47490" w:rsidRPr="009B670D" w:rsidRDefault="00D73CB1" w:rsidP="009B670D">
      <w:pPr>
        <w:spacing w:line="360" w:lineRule="auto"/>
        <w:ind w:firstLineChars="200" w:firstLine="560"/>
        <w:rPr>
          <w:rFonts w:ascii="华文仿宋" w:eastAsia="华文仿宋" w:hAnsi="华文仿宋" w:hint="eastAsia"/>
          <w:sz w:val="28"/>
          <w:szCs w:val="28"/>
        </w:rPr>
      </w:pPr>
      <w:r>
        <w:rPr>
          <w:rFonts w:ascii="华文仿宋" w:eastAsia="华文仿宋" w:hAnsi="华文仿宋" w:cs="宋体" w:hint="eastAsia"/>
          <w:kern w:val="0"/>
          <w:sz w:val="28"/>
          <w:szCs w:val="28"/>
        </w:rPr>
        <w:t>5、</w:t>
      </w:r>
      <w:r>
        <w:rPr>
          <w:rFonts w:ascii="华文仿宋" w:eastAsia="华文仿宋" w:hAnsi="华文仿宋"/>
          <w:sz w:val="28"/>
          <w:szCs w:val="28"/>
        </w:rPr>
        <w:t>招生专业以省级招生管理部门公布的为准。</w:t>
      </w:r>
      <w:bookmarkStart w:id="0" w:name="_GoBack"/>
      <w:bookmarkEnd w:id="0"/>
    </w:p>
    <w:sectPr w:rsidR="00B47490" w:rsidRPr="009B67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E46" w:rsidRDefault="005B1E46" w:rsidP="00D73CB1">
      <w:r>
        <w:separator/>
      </w:r>
    </w:p>
  </w:endnote>
  <w:endnote w:type="continuationSeparator" w:id="0">
    <w:p w:rsidR="005B1E46" w:rsidRDefault="005B1E46" w:rsidP="00D7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E46" w:rsidRDefault="005B1E46" w:rsidP="00D73CB1">
      <w:r>
        <w:separator/>
      </w:r>
    </w:p>
  </w:footnote>
  <w:footnote w:type="continuationSeparator" w:id="0">
    <w:p w:rsidR="005B1E46" w:rsidRDefault="005B1E46" w:rsidP="00D73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4C"/>
    <w:rsid w:val="005B1E46"/>
    <w:rsid w:val="009B670D"/>
    <w:rsid w:val="00B47490"/>
    <w:rsid w:val="00D73CB1"/>
    <w:rsid w:val="00F45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5DB960-B0F7-4ED4-A94F-EFB2B012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CB1"/>
    <w:rPr>
      <w:sz w:val="18"/>
      <w:szCs w:val="18"/>
    </w:rPr>
  </w:style>
  <w:style w:type="paragraph" w:styleId="a4">
    <w:name w:val="footer"/>
    <w:basedOn w:val="a"/>
    <w:link w:val="Char0"/>
    <w:uiPriority w:val="99"/>
    <w:unhideWhenUsed/>
    <w:rsid w:val="00D73CB1"/>
    <w:pPr>
      <w:tabs>
        <w:tab w:val="center" w:pos="4153"/>
        <w:tab w:val="right" w:pos="8306"/>
      </w:tabs>
      <w:snapToGrid w:val="0"/>
      <w:jc w:val="left"/>
    </w:pPr>
    <w:rPr>
      <w:sz w:val="18"/>
      <w:szCs w:val="18"/>
    </w:rPr>
  </w:style>
  <w:style w:type="character" w:customStyle="1" w:styleId="Char0">
    <w:name w:val="页脚 Char"/>
    <w:basedOn w:val="a0"/>
    <w:link w:val="a4"/>
    <w:uiPriority w:val="99"/>
    <w:rsid w:val="00D73CB1"/>
    <w:rPr>
      <w:sz w:val="18"/>
      <w:szCs w:val="18"/>
    </w:rPr>
  </w:style>
  <w:style w:type="character" w:styleId="a5">
    <w:name w:val="Strong"/>
    <w:basedOn w:val="a0"/>
    <w:uiPriority w:val="22"/>
    <w:qFormat/>
    <w:rsid w:val="00D73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2022-01-07T01:23:00Z</dcterms:created>
  <dcterms:modified xsi:type="dcterms:W3CDTF">2022-01-07T01:24:00Z</dcterms:modified>
</cp:coreProperties>
</file>